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E8" w:rsidRDefault="00D866E8" w:rsidP="00D866E8">
      <w:pPr>
        <w:pStyle w:val="Default"/>
      </w:pPr>
      <w:r>
        <w:t>Diversité des gènes LIL</w:t>
      </w:r>
      <w:r w:rsidR="00AC5F1C">
        <w:t>RB1</w:t>
      </w:r>
      <w:r>
        <w:t xml:space="preserve">: </w:t>
      </w:r>
      <w:r w:rsidR="005F3D45">
        <w:t xml:space="preserve">création d’une </w:t>
      </w:r>
      <w:r>
        <w:t xml:space="preserve">base de </w:t>
      </w:r>
      <w:r w:rsidR="005F3D45">
        <w:t>séquences</w:t>
      </w:r>
      <w:r>
        <w:t xml:space="preserve"> de référence, </w:t>
      </w:r>
      <w:r w:rsidR="005F3D45">
        <w:t xml:space="preserve">étude de la diversité génétique mondiale et </w:t>
      </w:r>
      <w:r>
        <w:t>implication fonctionnelle et médicale.</w:t>
      </w:r>
    </w:p>
    <w:p w:rsidR="00D866E8" w:rsidRDefault="00D866E8" w:rsidP="00D866E8">
      <w:pPr>
        <w:pStyle w:val="Default"/>
      </w:pPr>
    </w:p>
    <w:p w:rsidR="00D866E8" w:rsidRDefault="00D866E8" w:rsidP="00D866E8">
      <w:pPr>
        <w:pStyle w:val="Default"/>
      </w:pPr>
    </w:p>
    <w:p w:rsidR="008E6A70" w:rsidRPr="00AC5F1C" w:rsidRDefault="00D866E8" w:rsidP="00AC5F1C">
      <w:pPr>
        <w:pStyle w:val="Default"/>
        <w:rPr>
          <w:b/>
          <w:bCs/>
          <w:sz w:val="22"/>
          <w:szCs w:val="22"/>
        </w:rPr>
      </w:pPr>
      <w:r>
        <w:rPr>
          <w:b/>
          <w:bCs/>
          <w:sz w:val="22"/>
          <w:szCs w:val="22"/>
        </w:rPr>
        <w:t>CONTEXTE :</w:t>
      </w:r>
    </w:p>
    <w:p w:rsidR="00D866E8" w:rsidRPr="00E37785" w:rsidRDefault="00D866E8" w:rsidP="00E37785">
      <w:pPr>
        <w:pStyle w:val="Default"/>
        <w:rPr>
          <w:sz w:val="22"/>
          <w:szCs w:val="22"/>
        </w:rPr>
      </w:pPr>
      <w:r w:rsidRPr="00E37785">
        <w:rPr>
          <w:sz w:val="22"/>
          <w:szCs w:val="22"/>
        </w:rPr>
        <w:t xml:space="preserve">Le système immunitaire est </w:t>
      </w:r>
      <w:r w:rsidRPr="00E37785">
        <w:rPr>
          <w:sz w:val="22"/>
          <w:szCs w:val="22"/>
        </w:rPr>
        <w:t xml:space="preserve">régi par </w:t>
      </w:r>
      <w:r w:rsidRPr="00E37785">
        <w:rPr>
          <w:sz w:val="22"/>
          <w:szCs w:val="22"/>
        </w:rPr>
        <w:t xml:space="preserve">un réseau complexe de cellules effectrices, d'organes et de tissus, tous étroitement régulés pour maintenir l'homéostasie immunitaire. </w:t>
      </w:r>
      <w:r w:rsidRPr="00E37785">
        <w:rPr>
          <w:sz w:val="22"/>
          <w:szCs w:val="22"/>
        </w:rPr>
        <w:t>L</w:t>
      </w:r>
      <w:r w:rsidRPr="00E37785">
        <w:rPr>
          <w:sz w:val="22"/>
          <w:szCs w:val="22"/>
        </w:rPr>
        <w:t>a régulation immunitaire est l'intégra</w:t>
      </w:r>
      <w:r w:rsidRPr="00E37785">
        <w:rPr>
          <w:sz w:val="22"/>
          <w:szCs w:val="22"/>
        </w:rPr>
        <w:t>tion dynamique des signaux provient</w:t>
      </w:r>
      <w:r w:rsidRPr="00E37785">
        <w:rPr>
          <w:sz w:val="22"/>
          <w:szCs w:val="22"/>
        </w:rPr>
        <w:t xml:space="preserve"> de récepteurs activateurs et inhibiteurs de la surface cellulaire des leucocytes</w:t>
      </w:r>
      <w:r w:rsidRPr="00E37785">
        <w:rPr>
          <w:sz w:val="22"/>
          <w:szCs w:val="22"/>
        </w:rPr>
        <w:t>.</w:t>
      </w:r>
    </w:p>
    <w:p w:rsidR="00D866E8" w:rsidRPr="00E37785" w:rsidRDefault="00D866E8" w:rsidP="00E37785">
      <w:pPr>
        <w:pStyle w:val="Default"/>
        <w:rPr>
          <w:sz w:val="22"/>
          <w:szCs w:val="22"/>
        </w:rPr>
      </w:pPr>
      <w:r w:rsidRPr="00E37785">
        <w:rPr>
          <w:sz w:val="22"/>
          <w:szCs w:val="22"/>
        </w:rPr>
        <w:t>Les récepteurs leucocytaires humains de type immunoglobuline (</w:t>
      </w:r>
      <w:proofErr w:type="spellStart"/>
      <w:r w:rsidRPr="00E37785">
        <w:rPr>
          <w:sz w:val="22"/>
          <w:szCs w:val="22"/>
        </w:rPr>
        <w:t>Ig</w:t>
      </w:r>
      <w:proofErr w:type="spellEnd"/>
      <w:r w:rsidRPr="00E37785">
        <w:rPr>
          <w:sz w:val="22"/>
          <w:szCs w:val="22"/>
        </w:rPr>
        <w:t xml:space="preserve">) (LILR) constituent une famille de 11 récepteurs </w:t>
      </w:r>
      <w:proofErr w:type="spellStart"/>
      <w:r w:rsidRPr="00E37785">
        <w:rPr>
          <w:sz w:val="22"/>
          <w:szCs w:val="22"/>
        </w:rPr>
        <w:t>immunomodulateurs</w:t>
      </w:r>
      <w:proofErr w:type="spellEnd"/>
      <w:r w:rsidRPr="00E37785">
        <w:rPr>
          <w:sz w:val="22"/>
          <w:szCs w:val="22"/>
        </w:rPr>
        <w:t>, exprimés principalement exprimés sur les cellules lymphoïdes et myéloïdes. Les LILR sont soit activateurs (LILRA), soit inhibiteurs (LILRB), en fonction des domaines de signalisation qui leur sont associés (D).</w:t>
      </w:r>
    </w:p>
    <w:p w:rsidR="00D866E8" w:rsidRPr="00E37785" w:rsidRDefault="00D866E8" w:rsidP="00E37785">
      <w:pPr>
        <w:pStyle w:val="Default"/>
        <w:rPr>
          <w:sz w:val="22"/>
          <w:szCs w:val="22"/>
        </w:rPr>
      </w:pPr>
      <w:r w:rsidRPr="00E37785">
        <w:rPr>
          <w:sz w:val="22"/>
          <w:szCs w:val="22"/>
        </w:rPr>
        <w:t xml:space="preserve">Les LILR sont des glycoprotéines transmembranaires de type 1, structurellement et fonctionnellement similaires aux récepteurs </w:t>
      </w:r>
      <w:proofErr w:type="spellStart"/>
      <w:r w:rsidRPr="00E37785">
        <w:rPr>
          <w:sz w:val="22"/>
          <w:szCs w:val="22"/>
        </w:rPr>
        <w:t>Ig-like</w:t>
      </w:r>
      <w:proofErr w:type="spellEnd"/>
      <w:r w:rsidRPr="00E37785">
        <w:rPr>
          <w:sz w:val="22"/>
          <w:szCs w:val="22"/>
        </w:rPr>
        <w:t xml:space="preserve"> des cellules tueuses (KIR) exprimés sur les cellules </w:t>
      </w:r>
      <w:r w:rsidRPr="00E37785">
        <w:rPr>
          <w:sz w:val="22"/>
          <w:szCs w:val="22"/>
        </w:rPr>
        <w:t>NK</w:t>
      </w:r>
      <w:r w:rsidRPr="00E37785">
        <w:rPr>
          <w:sz w:val="22"/>
          <w:szCs w:val="22"/>
        </w:rPr>
        <w:t xml:space="preserve"> et certains sous-ensembles de lymphocytes T</w:t>
      </w:r>
      <w:r w:rsidRPr="00E37785">
        <w:rPr>
          <w:sz w:val="22"/>
          <w:szCs w:val="22"/>
        </w:rPr>
        <w:t xml:space="preserve">. </w:t>
      </w:r>
      <w:r w:rsidRPr="00E37785">
        <w:rPr>
          <w:sz w:val="22"/>
          <w:szCs w:val="22"/>
        </w:rPr>
        <w:t xml:space="preserve">Les gènes </w:t>
      </w:r>
      <w:r w:rsidRPr="00E37785">
        <w:rPr>
          <w:i/>
          <w:iCs/>
          <w:sz w:val="22"/>
          <w:szCs w:val="22"/>
        </w:rPr>
        <w:t>LILR</w:t>
      </w:r>
      <w:r w:rsidRPr="00E37785">
        <w:rPr>
          <w:sz w:val="22"/>
          <w:szCs w:val="22"/>
        </w:rPr>
        <w:t xml:space="preserve"> sont situés à côté des </w:t>
      </w:r>
      <w:r w:rsidRPr="00E37785">
        <w:rPr>
          <w:i/>
          <w:iCs/>
          <w:sz w:val="22"/>
          <w:szCs w:val="22"/>
        </w:rPr>
        <w:t>KIR</w:t>
      </w:r>
      <w:r w:rsidRPr="00E37785">
        <w:rPr>
          <w:sz w:val="22"/>
          <w:szCs w:val="22"/>
        </w:rPr>
        <w:t xml:space="preserve"> au sein du complexe des récepteurs leucocytaires sur le chromosome 19, en 19q13.4, et codent pour 11 gènes fonctionnels et deux </w:t>
      </w:r>
      <w:proofErr w:type="spellStart"/>
      <w:r w:rsidRPr="00E37785">
        <w:rPr>
          <w:sz w:val="22"/>
          <w:szCs w:val="22"/>
        </w:rPr>
        <w:t>pseudogènes</w:t>
      </w:r>
      <w:proofErr w:type="spellEnd"/>
      <w:r w:rsidRPr="00E37785">
        <w:rPr>
          <w:sz w:val="22"/>
          <w:szCs w:val="22"/>
        </w:rPr>
        <w:t>. L</w:t>
      </w:r>
      <w:r w:rsidRPr="00E37785">
        <w:rPr>
          <w:sz w:val="22"/>
          <w:szCs w:val="22"/>
        </w:rPr>
        <w:t xml:space="preserve">e groupe de gènes </w:t>
      </w:r>
      <w:r w:rsidRPr="00E37785">
        <w:rPr>
          <w:i/>
          <w:iCs/>
          <w:sz w:val="22"/>
          <w:szCs w:val="22"/>
        </w:rPr>
        <w:t>LILR</w:t>
      </w:r>
      <w:r w:rsidRPr="00E37785">
        <w:rPr>
          <w:sz w:val="22"/>
          <w:szCs w:val="22"/>
        </w:rPr>
        <w:t xml:space="preserve"> </w:t>
      </w:r>
      <w:r w:rsidRPr="00E37785">
        <w:rPr>
          <w:sz w:val="22"/>
          <w:szCs w:val="22"/>
        </w:rPr>
        <w:t>serait</w:t>
      </w:r>
      <w:r w:rsidRPr="00E37785">
        <w:rPr>
          <w:sz w:val="22"/>
          <w:szCs w:val="22"/>
        </w:rPr>
        <w:t xml:space="preserve"> issu d'un gène fondateur activateur qui, après duplication des gènes, a donné naissance à la famille et à l'organisation actuelles</w:t>
      </w:r>
      <w:r w:rsidRPr="00E37785">
        <w:rPr>
          <w:sz w:val="22"/>
          <w:szCs w:val="22"/>
        </w:rPr>
        <w:t xml:space="preserve">. </w:t>
      </w:r>
      <w:r w:rsidRPr="00E37785">
        <w:rPr>
          <w:sz w:val="22"/>
          <w:szCs w:val="22"/>
        </w:rPr>
        <w:t xml:space="preserve">La région </w:t>
      </w:r>
      <w:r w:rsidRPr="00E37785">
        <w:rPr>
          <w:i/>
          <w:iCs/>
          <w:sz w:val="22"/>
          <w:szCs w:val="22"/>
        </w:rPr>
        <w:t>LILR</w:t>
      </w:r>
      <w:r w:rsidRPr="00E37785">
        <w:rPr>
          <w:sz w:val="22"/>
          <w:szCs w:val="22"/>
        </w:rPr>
        <w:t xml:space="preserve"> comprend environ 497 kb, divisés en régions </w:t>
      </w:r>
      <w:proofErr w:type="spellStart"/>
      <w:r w:rsidRPr="00E37785">
        <w:rPr>
          <w:sz w:val="22"/>
          <w:szCs w:val="22"/>
        </w:rPr>
        <w:t>télomériques</w:t>
      </w:r>
      <w:proofErr w:type="spellEnd"/>
      <w:r w:rsidRPr="00E37785">
        <w:rPr>
          <w:sz w:val="22"/>
          <w:szCs w:val="22"/>
        </w:rPr>
        <w:t xml:space="preserve"> (~211 kb) et </w:t>
      </w:r>
      <w:proofErr w:type="spellStart"/>
      <w:r w:rsidRPr="00E37785">
        <w:rPr>
          <w:sz w:val="22"/>
          <w:szCs w:val="22"/>
        </w:rPr>
        <w:t>centromériques</w:t>
      </w:r>
      <w:proofErr w:type="spellEnd"/>
      <w:r w:rsidRPr="00E37785">
        <w:rPr>
          <w:sz w:val="22"/>
          <w:szCs w:val="22"/>
        </w:rPr>
        <w:t xml:space="preserve"> (~154 kb), séparées pa</w:t>
      </w:r>
      <w:r w:rsidRPr="00E37785">
        <w:rPr>
          <w:sz w:val="22"/>
          <w:szCs w:val="22"/>
        </w:rPr>
        <w:t>r une région centrale (~132 kb).</w:t>
      </w:r>
    </w:p>
    <w:p w:rsidR="00D866E8" w:rsidRPr="00E37785" w:rsidRDefault="00D866E8" w:rsidP="00E37785">
      <w:pPr>
        <w:pStyle w:val="Default"/>
        <w:rPr>
          <w:sz w:val="22"/>
          <w:szCs w:val="22"/>
        </w:rPr>
      </w:pPr>
      <w:r w:rsidRPr="00E37785">
        <w:rPr>
          <w:sz w:val="22"/>
          <w:szCs w:val="22"/>
        </w:rPr>
        <w:t>Les LILR sont principalement exprimés sur les cellules myéloïdes présentatrices d'antigènes (APC), telles que les monocytes et les cellules dendritiques (DC), mais aussi sur les granulocytes, les cellules NK, les lymphocytes T et B, les cellules souches hématopoïétiques</w:t>
      </w:r>
      <w:r w:rsidRPr="00E37785">
        <w:rPr>
          <w:sz w:val="22"/>
          <w:szCs w:val="22"/>
        </w:rPr>
        <w:t xml:space="preserve"> </w:t>
      </w:r>
      <w:r w:rsidRPr="00E37785">
        <w:rPr>
          <w:sz w:val="22"/>
          <w:szCs w:val="22"/>
        </w:rPr>
        <w:t>et les cellules non immunes, telles que les cellules endothéliales et les neurones</w:t>
      </w:r>
      <w:r w:rsidRPr="00E37785">
        <w:rPr>
          <w:sz w:val="22"/>
          <w:szCs w:val="22"/>
        </w:rPr>
        <w:t xml:space="preserve">. </w:t>
      </w:r>
      <w:r w:rsidRPr="00E37785">
        <w:rPr>
          <w:sz w:val="22"/>
          <w:szCs w:val="22"/>
        </w:rPr>
        <w:t xml:space="preserve">Les LILR sont des récepteurs membranaires, </w:t>
      </w:r>
      <w:r w:rsidRPr="00E37785">
        <w:rPr>
          <w:sz w:val="22"/>
          <w:szCs w:val="22"/>
        </w:rPr>
        <w:t xml:space="preserve">et </w:t>
      </w:r>
      <w:r w:rsidRPr="00E37785">
        <w:rPr>
          <w:sz w:val="22"/>
          <w:szCs w:val="22"/>
        </w:rPr>
        <w:t>existent également sous forme soluble en raison d'un épissage alternatif</w:t>
      </w:r>
      <w:r w:rsidRPr="00E37785">
        <w:rPr>
          <w:sz w:val="22"/>
          <w:szCs w:val="22"/>
        </w:rPr>
        <w:t xml:space="preserve">. </w:t>
      </w:r>
    </w:p>
    <w:p w:rsidR="00D866E8" w:rsidRDefault="00D866E8" w:rsidP="00E37785">
      <w:pPr>
        <w:pStyle w:val="Default"/>
        <w:rPr>
          <w:sz w:val="22"/>
          <w:szCs w:val="22"/>
        </w:rPr>
      </w:pPr>
      <w:r w:rsidRPr="00E37785">
        <w:rPr>
          <w:sz w:val="22"/>
          <w:szCs w:val="22"/>
        </w:rPr>
        <w:t>L'expression et la fonction des LILR sont associées à une série de pathologies, notamment l'insuffisance immunitaire (infection et tumeur maligne) et les réponses immunitaires pathologiques (auto-immunité et réactions allergiques), ce qui suggère que les LILR pourraient être d'excellents candidats pour les immunothérapies ciblées.</w:t>
      </w:r>
    </w:p>
    <w:p w:rsidR="00AC5F1C" w:rsidRPr="00E37785" w:rsidRDefault="00AC5F1C" w:rsidP="00E37785">
      <w:pPr>
        <w:pStyle w:val="Default"/>
        <w:rPr>
          <w:sz w:val="22"/>
          <w:szCs w:val="22"/>
        </w:rPr>
      </w:pPr>
      <w:r>
        <w:rPr>
          <w:sz w:val="22"/>
          <w:szCs w:val="22"/>
        </w:rPr>
        <w:t xml:space="preserve">Il n’existe </w:t>
      </w:r>
      <w:proofErr w:type="spellStart"/>
      <w:proofErr w:type="gramStart"/>
      <w:r>
        <w:rPr>
          <w:sz w:val="22"/>
          <w:szCs w:val="22"/>
        </w:rPr>
        <w:t>a</w:t>
      </w:r>
      <w:proofErr w:type="spellEnd"/>
      <w:proofErr w:type="gramEnd"/>
      <w:r>
        <w:rPr>
          <w:sz w:val="22"/>
          <w:szCs w:val="22"/>
        </w:rPr>
        <w:t xml:space="preserve"> ce jour aucune base de données de référence de type </w:t>
      </w:r>
      <w:r w:rsidRPr="00AC5F1C">
        <w:rPr>
          <w:sz w:val="22"/>
          <w:szCs w:val="22"/>
        </w:rPr>
        <w:t>https://www.ebi.ac.uk/ipd/imgt/hla/</w:t>
      </w:r>
      <w:r>
        <w:rPr>
          <w:sz w:val="22"/>
          <w:szCs w:val="22"/>
        </w:rPr>
        <w:t>.</w:t>
      </w:r>
    </w:p>
    <w:p w:rsidR="00D866E8" w:rsidRPr="00E37785" w:rsidRDefault="00D866E8" w:rsidP="00D866E8">
      <w:pPr>
        <w:pStyle w:val="Default"/>
        <w:rPr>
          <w:sz w:val="22"/>
          <w:szCs w:val="22"/>
        </w:rPr>
      </w:pPr>
    </w:p>
    <w:p w:rsidR="00D866E8" w:rsidRDefault="00D866E8" w:rsidP="00D866E8">
      <w:pPr>
        <w:pStyle w:val="Default"/>
        <w:rPr>
          <w:sz w:val="22"/>
          <w:szCs w:val="22"/>
        </w:rPr>
      </w:pPr>
      <w:r>
        <w:rPr>
          <w:b/>
          <w:bCs/>
          <w:sz w:val="22"/>
          <w:szCs w:val="22"/>
        </w:rPr>
        <w:t xml:space="preserve">OBJECTIFS : </w:t>
      </w:r>
    </w:p>
    <w:p w:rsidR="00D866E8" w:rsidRDefault="00D866E8" w:rsidP="00D866E8">
      <w:pPr>
        <w:pStyle w:val="Default"/>
        <w:rPr>
          <w:sz w:val="22"/>
          <w:szCs w:val="22"/>
        </w:rPr>
      </w:pPr>
      <w:r>
        <w:rPr>
          <w:sz w:val="22"/>
          <w:szCs w:val="22"/>
        </w:rPr>
        <w:t xml:space="preserve">Dans un premier temps, il s’agira de : </w:t>
      </w:r>
    </w:p>
    <w:p w:rsidR="00D866E8" w:rsidRDefault="00D866E8" w:rsidP="00D866E8">
      <w:pPr>
        <w:pStyle w:val="Default"/>
        <w:rPr>
          <w:sz w:val="22"/>
          <w:szCs w:val="22"/>
        </w:rPr>
      </w:pPr>
      <w:r>
        <w:rPr>
          <w:sz w:val="22"/>
          <w:szCs w:val="22"/>
        </w:rPr>
        <w:t xml:space="preserve">(1) </w:t>
      </w:r>
      <w:r>
        <w:rPr>
          <w:sz w:val="22"/>
          <w:szCs w:val="22"/>
        </w:rPr>
        <w:t xml:space="preserve">établir </w:t>
      </w:r>
      <w:r>
        <w:rPr>
          <w:sz w:val="22"/>
          <w:szCs w:val="22"/>
        </w:rPr>
        <w:t xml:space="preserve">une base de données </w:t>
      </w:r>
      <w:r>
        <w:rPr>
          <w:sz w:val="22"/>
          <w:szCs w:val="22"/>
        </w:rPr>
        <w:t xml:space="preserve">des </w:t>
      </w:r>
      <w:proofErr w:type="spellStart"/>
      <w:r>
        <w:rPr>
          <w:sz w:val="22"/>
          <w:szCs w:val="22"/>
        </w:rPr>
        <w:t>variants</w:t>
      </w:r>
      <w:proofErr w:type="spellEnd"/>
      <w:r>
        <w:rPr>
          <w:sz w:val="22"/>
          <w:szCs w:val="22"/>
        </w:rPr>
        <w:t xml:space="preserve"> du gène LILRB1</w:t>
      </w:r>
      <w:r>
        <w:rPr>
          <w:sz w:val="22"/>
          <w:szCs w:val="22"/>
        </w:rPr>
        <w:t xml:space="preserve"> ; </w:t>
      </w:r>
    </w:p>
    <w:p w:rsidR="00D866E8" w:rsidRDefault="00D866E8" w:rsidP="00D866E8">
      <w:pPr>
        <w:pStyle w:val="Default"/>
        <w:rPr>
          <w:sz w:val="22"/>
          <w:szCs w:val="22"/>
        </w:rPr>
      </w:pPr>
      <w:r>
        <w:rPr>
          <w:sz w:val="22"/>
          <w:szCs w:val="22"/>
        </w:rPr>
        <w:t xml:space="preserve">(2) </w:t>
      </w:r>
      <w:r>
        <w:rPr>
          <w:sz w:val="22"/>
          <w:szCs w:val="22"/>
        </w:rPr>
        <w:t xml:space="preserve">analyser la </w:t>
      </w:r>
      <w:r w:rsidR="00AC5F1C">
        <w:rPr>
          <w:sz w:val="22"/>
          <w:szCs w:val="22"/>
        </w:rPr>
        <w:t>répartition</w:t>
      </w:r>
      <w:r>
        <w:rPr>
          <w:sz w:val="22"/>
          <w:szCs w:val="22"/>
        </w:rPr>
        <w:t xml:space="preserve"> géographique de ces allèles</w:t>
      </w:r>
    </w:p>
    <w:p w:rsidR="00D866E8" w:rsidRDefault="00D866E8" w:rsidP="00D866E8">
      <w:pPr>
        <w:pStyle w:val="Default"/>
      </w:pPr>
      <w:r>
        <w:rPr>
          <w:sz w:val="22"/>
          <w:szCs w:val="22"/>
        </w:rPr>
        <w:t xml:space="preserve">(3) établir les impacts </w:t>
      </w:r>
      <w:r w:rsidR="00AC5F1C">
        <w:rPr>
          <w:sz w:val="22"/>
          <w:szCs w:val="22"/>
        </w:rPr>
        <w:t>structurels</w:t>
      </w:r>
      <w:r>
        <w:rPr>
          <w:sz w:val="22"/>
          <w:szCs w:val="22"/>
        </w:rPr>
        <w:t xml:space="preserve"> et fonctionnels de ces </w:t>
      </w:r>
      <w:proofErr w:type="spellStart"/>
      <w:r w:rsidR="00AC5F1C">
        <w:rPr>
          <w:sz w:val="22"/>
          <w:szCs w:val="22"/>
        </w:rPr>
        <w:t>variants</w:t>
      </w:r>
      <w:proofErr w:type="spellEnd"/>
      <w:r>
        <w:rPr>
          <w:sz w:val="22"/>
          <w:szCs w:val="22"/>
        </w:rPr>
        <w:t xml:space="preserve"> </w:t>
      </w:r>
    </w:p>
    <w:p w:rsidR="00E37785" w:rsidRDefault="00E37785" w:rsidP="00E37785">
      <w:pPr>
        <w:pStyle w:val="Default"/>
        <w:rPr>
          <w:b/>
          <w:bCs/>
          <w:sz w:val="22"/>
          <w:szCs w:val="22"/>
        </w:rPr>
      </w:pPr>
    </w:p>
    <w:p w:rsidR="00E37785" w:rsidRDefault="00E37785" w:rsidP="00E37785">
      <w:pPr>
        <w:pStyle w:val="Default"/>
        <w:rPr>
          <w:sz w:val="22"/>
          <w:szCs w:val="22"/>
        </w:rPr>
      </w:pPr>
      <w:r>
        <w:rPr>
          <w:b/>
          <w:bCs/>
          <w:sz w:val="22"/>
          <w:szCs w:val="22"/>
        </w:rPr>
        <w:t xml:space="preserve">ETUDIANT(E)S CONCERNE(E)S : </w:t>
      </w:r>
    </w:p>
    <w:p w:rsidR="00E37785" w:rsidRDefault="00E37785" w:rsidP="00E37785">
      <w:pPr>
        <w:pStyle w:val="Default"/>
        <w:rPr>
          <w:sz w:val="22"/>
          <w:szCs w:val="22"/>
        </w:rPr>
      </w:pPr>
      <w:r>
        <w:rPr>
          <w:sz w:val="22"/>
          <w:szCs w:val="22"/>
        </w:rPr>
        <w:t>2</w:t>
      </w:r>
      <w:r>
        <w:rPr>
          <w:sz w:val="14"/>
          <w:szCs w:val="14"/>
        </w:rPr>
        <w:t xml:space="preserve">e </w:t>
      </w:r>
      <w:r>
        <w:rPr>
          <w:sz w:val="22"/>
          <w:szCs w:val="22"/>
        </w:rPr>
        <w:t>ou 3</w:t>
      </w:r>
      <w:r>
        <w:rPr>
          <w:sz w:val="14"/>
          <w:szCs w:val="14"/>
        </w:rPr>
        <w:t xml:space="preserve">e </w:t>
      </w:r>
      <w:r>
        <w:rPr>
          <w:sz w:val="22"/>
          <w:szCs w:val="22"/>
        </w:rPr>
        <w:t xml:space="preserve">année d’école d’ingénieur </w:t>
      </w:r>
    </w:p>
    <w:p w:rsidR="00E37785" w:rsidRDefault="00E37785" w:rsidP="00E37785">
      <w:pPr>
        <w:pStyle w:val="Default"/>
        <w:rPr>
          <w:sz w:val="22"/>
          <w:szCs w:val="22"/>
        </w:rPr>
      </w:pPr>
      <w:r>
        <w:rPr>
          <w:sz w:val="22"/>
          <w:szCs w:val="22"/>
        </w:rPr>
        <w:t xml:space="preserve">Master II </w:t>
      </w:r>
    </w:p>
    <w:p w:rsidR="00E37785" w:rsidRDefault="00E37785" w:rsidP="00E37785">
      <w:pPr>
        <w:pStyle w:val="Default"/>
        <w:rPr>
          <w:sz w:val="22"/>
          <w:szCs w:val="22"/>
        </w:rPr>
      </w:pPr>
      <w:r>
        <w:rPr>
          <w:sz w:val="22"/>
          <w:szCs w:val="22"/>
        </w:rPr>
        <w:t>De bonnes compétences en analyses de données</w:t>
      </w:r>
      <w:r>
        <w:rPr>
          <w:sz w:val="22"/>
          <w:szCs w:val="22"/>
        </w:rPr>
        <w:t xml:space="preserve"> génétiques et statistiques sont requises</w:t>
      </w:r>
      <w:r>
        <w:rPr>
          <w:sz w:val="22"/>
          <w:szCs w:val="22"/>
        </w:rPr>
        <w:t xml:space="preserve">. </w:t>
      </w:r>
    </w:p>
    <w:p w:rsidR="00E37785" w:rsidRDefault="00E37785" w:rsidP="00E37785">
      <w:pPr>
        <w:pStyle w:val="Default"/>
        <w:rPr>
          <w:sz w:val="22"/>
          <w:szCs w:val="22"/>
        </w:rPr>
      </w:pPr>
      <w:r>
        <w:rPr>
          <w:sz w:val="22"/>
          <w:szCs w:val="22"/>
        </w:rPr>
        <w:t xml:space="preserve">Des connaissances en </w:t>
      </w:r>
      <w:r>
        <w:rPr>
          <w:sz w:val="22"/>
          <w:szCs w:val="22"/>
        </w:rPr>
        <w:t>immunologie</w:t>
      </w:r>
      <w:r>
        <w:rPr>
          <w:sz w:val="22"/>
          <w:szCs w:val="22"/>
        </w:rPr>
        <w:t xml:space="preserve"> seront appréciables. </w:t>
      </w:r>
    </w:p>
    <w:p w:rsidR="00E37785" w:rsidRDefault="00E37785" w:rsidP="00E37785">
      <w:pPr>
        <w:pStyle w:val="Default"/>
        <w:rPr>
          <w:sz w:val="22"/>
          <w:szCs w:val="22"/>
        </w:rPr>
      </w:pPr>
      <w:r>
        <w:rPr>
          <w:sz w:val="22"/>
          <w:szCs w:val="22"/>
        </w:rPr>
        <w:t xml:space="preserve">Le stagiaire devra être autonome, avoir une réelle capacité de synthèse et un esprit critique. De bonnes qualités rédactionnelles seront également attendues. </w:t>
      </w:r>
    </w:p>
    <w:p w:rsidR="00E37785" w:rsidRDefault="00E37785" w:rsidP="00E37785">
      <w:pPr>
        <w:pStyle w:val="Default"/>
        <w:rPr>
          <w:sz w:val="22"/>
          <w:szCs w:val="22"/>
        </w:rPr>
      </w:pPr>
    </w:p>
    <w:p w:rsidR="00E37785" w:rsidRDefault="00E37785" w:rsidP="00E37785">
      <w:pPr>
        <w:pStyle w:val="Default"/>
        <w:rPr>
          <w:sz w:val="22"/>
          <w:szCs w:val="22"/>
        </w:rPr>
      </w:pPr>
      <w:r>
        <w:rPr>
          <w:b/>
          <w:bCs/>
          <w:sz w:val="22"/>
          <w:szCs w:val="22"/>
        </w:rPr>
        <w:t xml:space="preserve">CONDITIONS DU STAGE : </w:t>
      </w:r>
    </w:p>
    <w:p w:rsidR="00E37785" w:rsidRDefault="00E37785" w:rsidP="00E37785">
      <w:pPr>
        <w:pStyle w:val="Default"/>
        <w:rPr>
          <w:sz w:val="22"/>
          <w:szCs w:val="22"/>
        </w:rPr>
      </w:pPr>
      <w:r>
        <w:rPr>
          <w:b/>
          <w:bCs/>
          <w:sz w:val="22"/>
          <w:szCs w:val="22"/>
        </w:rPr>
        <w:t xml:space="preserve">Lieu : </w:t>
      </w:r>
    </w:p>
    <w:p w:rsidR="00E37785" w:rsidRDefault="00E37785" w:rsidP="00E37785">
      <w:pPr>
        <w:pStyle w:val="Default"/>
        <w:rPr>
          <w:sz w:val="22"/>
          <w:szCs w:val="22"/>
        </w:rPr>
      </w:pPr>
      <w:r>
        <w:rPr>
          <w:sz w:val="22"/>
          <w:szCs w:val="22"/>
        </w:rPr>
        <w:t xml:space="preserve">UMR7268 </w:t>
      </w:r>
      <w:r w:rsidR="00AC5F1C">
        <w:rPr>
          <w:sz w:val="22"/>
          <w:szCs w:val="22"/>
        </w:rPr>
        <w:t>/ Etablissement Français du Sang Paca Corse</w:t>
      </w:r>
    </w:p>
    <w:p w:rsidR="00E37785" w:rsidRDefault="00E37785" w:rsidP="00E37785">
      <w:pPr>
        <w:pStyle w:val="Default"/>
        <w:rPr>
          <w:sz w:val="22"/>
          <w:szCs w:val="22"/>
        </w:rPr>
      </w:pPr>
      <w:r>
        <w:rPr>
          <w:sz w:val="22"/>
          <w:szCs w:val="22"/>
        </w:rPr>
        <w:t xml:space="preserve">Faculté de Médecine </w:t>
      </w:r>
      <w:proofErr w:type="spellStart"/>
      <w:r>
        <w:rPr>
          <w:sz w:val="22"/>
          <w:szCs w:val="22"/>
        </w:rPr>
        <w:t>Timone</w:t>
      </w:r>
      <w:proofErr w:type="spellEnd"/>
    </w:p>
    <w:p w:rsidR="00E37785" w:rsidRDefault="00E37785" w:rsidP="00E37785">
      <w:pPr>
        <w:pStyle w:val="Default"/>
        <w:rPr>
          <w:sz w:val="22"/>
          <w:szCs w:val="22"/>
        </w:rPr>
      </w:pPr>
      <w:r>
        <w:rPr>
          <w:sz w:val="22"/>
          <w:szCs w:val="22"/>
        </w:rPr>
        <w:t>27 Bd Jean Moulin</w:t>
      </w:r>
      <w:bookmarkStart w:id="0" w:name="_GoBack"/>
      <w:bookmarkEnd w:id="0"/>
    </w:p>
    <w:p w:rsidR="00E37785" w:rsidRDefault="00E37785" w:rsidP="00E37785">
      <w:pPr>
        <w:pStyle w:val="Default"/>
        <w:rPr>
          <w:sz w:val="22"/>
          <w:szCs w:val="22"/>
        </w:rPr>
      </w:pPr>
      <w:r>
        <w:rPr>
          <w:sz w:val="22"/>
          <w:szCs w:val="22"/>
        </w:rPr>
        <w:lastRenderedPageBreak/>
        <w:t>13005 Marseille</w:t>
      </w:r>
    </w:p>
    <w:p w:rsidR="00E37785" w:rsidRDefault="00E37785" w:rsidP="00E37785">
      <w:pPr>
        <w:pStyle w:val="Default"/>
        <w:rPr>
          <w:sz w:val="22"/>
          <w:szCs w:val="22"/>
        </w:rPr>
      </w:pPr>
      <w:r>
        <w:rPr>
          <w:b/>
          <w:bCs/>
          <w:sz w:val="22"/>
          <w:szCs w:val="22"/>
        </w:rPr>
        <w:t xml:space="preserve">Durée : </w:t>
      </w:r>
      <w:r>
        <w:rPr>
          <w:sz w:val="22"/>
          <w:szCs w:val="22"/>
        </w:rPr>
        <w:t xml:space="preserve">6 mois avec démarrage au premier trimestre 2024 </w:t>
      </w:r>
    </w:p>
    <w:p w:rsidR="00E37785" w:rsidRDefault="00E37785" w:rsidP="00E37785">
      <w:pPr>
        <w:pStyle w:val="Default"/>
        <w:rPr>
          <w:sz w:val="22"/>
          <w:szCs w:val="22"/>
        </w:rPr>
      </w:pPr>
      <w:r>
        <w:rPr>
          <w:b/>
          <w:bCs/>
          <w:sz w:val="22"/>
          <w:szCs w:val="22"/>
        </w:rPr>
        <w:t xml:space="preserve">CONTACTS : </w:t>
      </w:r>
    </w:p>
    <w:p w:rsidR="00E37785" w:rsidRDefault="00E37785" w:rsidP="00E37785">
      <w:pPr>
        <w:pStyle w:val="Default"/>
        <w:rPr>
          <w:sz w:val="22"/>
          <w:szCs w:val="22"/>
        </w:rPr>
      </w:pPr>
      <w:r>
        <w:rPr>
          <w:sz w:val="22"/>
          <w:szCs w:val="22"/>
        </w:rPr>
        <w:t xml:space="preserve">Envoyer CV et lettre de motivation à : </w:t>
      </w:r>
    </w:p>
    <w:p w:rsidR="00E37785" w:rsidRPr="00E37785" w:rsidRDefault="00E37785" w:rsidP="00E37785">
      <w:pPr>
        <w:pStyle w:val="Default"/>
        <w:rPr>
          <w:sz w:val="22"/>
          <w:szCs w:val="22"/>
        </w:rPr>
      </w:pPr>
      <w:r>
        <w:rPr>
          <w:sz w:val="22"/>
          <w:szCs w:val="22"/>
        </w:rPr>
        <w:t xml:space="preserve">Julie Di </w:t>
      </w:r>
      <w:proofErr w:type="spellStart"/>
      <w:r>
        <w:rPr>
          <w:sz w:val="22"/>
          <w:szCs w:val="22"/>
        </w:rPr>
        <w:t>Cristofaro</w:t>
      </w:r>
      <w:proofErr w:type="spellEnd"/>
      <w:r>
        <w:rPr>
          <w:sz w:val="22"/>
          <w:szCs w:val="22"/>
        </w:rPr>
        <w:t xml:space="preserve"> julie.dicristofaro@efs.sante.fr</w:t>
      </w:r>
    </w:p>
    <w:p w:rsidR="00E37785" w:rsidRPr="00E37785" w:rsidRDefault="00E37785" w:rsidP="00E37785">
      <w:pPr>
        <w:pStyle w:val="Default"/>
        <w:rPr>
          <w:sz w:val="22"/>
          <w:szCs w:val="22"/>
        </w:rPr>
      </w:pPr>
    </w:p>
    <w:p w:rsidR="00D866E8" w:rsidRDefault="00D866E8" w:rsidP="00E37785"/>
    <w:sectPr w:rsidR="00D86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E8"/>
    <w:rsid w:val="005F3D45"/>
    <w:rsid w:val="008E6A70"/>
    <w:rsid w:val="00AC5F1C"/>
    <w:rsid w:val="00D866E8"/>
    <w:rsid w:val="00E37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C660"/>
  <w15:chartTrackingRefBased/>
  <w15:docId w15:val="{7B668F86-F04B-496A-BB7F-C98C57FB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866E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D866E8"/>
    <w:rPr>
      <w:color w:val="0000FF"/>
      <w:u w:val="single"/>
    </w:rPr>
  </w:style>
  <w:style w:type="paragraph" w:styleId="NormalWeb">
    <w:name w:val="Normal (Web)"/>
    <w:basedOn w:val="Normal"/>
    <w:uiPriority w:val="99"/>
    <w:semiHidden/>
    <w:unhideWhenUsed/>
    <w:rsid w:val="00D866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866E8"/>
    <w:rPr>
      <w:i/>
      <w:iCs/>
    </w:rPr>
  </w:style>
  <w:style w:type="character" w:styleId="lev">
    <w:name w:val="Strong"/>
    <w:basedOn w:val="Policepardfaut"/>
    <w:uiPriority w:val="22"/>
    <w:qFormat/>
    <w:rsid w:val="00D86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1208">
      <w:bodyDiv w:val="1"/>
      <w:marLeft w:val="0"/>
      <w:marRight w:val="0"/>
      <w:marTop w:val="0"/>
      <w:marBottom w:val="0"/>
      <w:divBdr>
        <w:top w:val="none" w:sz="0" w:space="0" w:color="auto"/>
        <w:left w:val="none" w:sz="0" w:space="0" w:color="auto"/>
        <w:bottom w:val="none" w:sz="0" w:space="0" w:color="auto"/>
        <w:right w:val="none" w:sz="0" w:space="0" w:color="auto"/>
      </w:divBdr>
    </w:div>
    <w:div w:id="382295644">
      <w:bodyDiv w:val="1"/>
      <w:marLeft w:val="0"/>
      <w:marRight w:val="0"/>
      <w:marTop w:val="0"/>
      <w:marBottom w:val="0"/>
      <w:divBdr>
        <w:top w:val="none" w:sz="0" w:space="0" w:color="auto"/>
        <w:left w:val="none" w:sz="0" w:space="0" w:color="auto"/>
        <w:bottom w:val="none" w:sz="0" w:space="0" w:color="auto"/>
        <w:right w:val="none" w:sz="0" w:space="0" w:color="auto"/>
      </w:divBdr>
    </w:div>
    <w:div w:id="19543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EFS</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CRISTOFARO Julie</dc:creator>
  <cp:keywords/>
  <dc:description/>
  <cp:lastModifiedBy>DI CRISTOFARO Julie</cp:lastModifiedBy>
  <cp:revision>4</cp:revision>
  <dcterms:created xsi:type="dcterms:W3CDTF">2024-03-19T09:23:00Z</dcterms:created>
  <dcterms:modified xsi:type="dcterms:W3CDTF">2024-03-19T09:39:00Z</dcterms:modified>
</cp:coreProperties>
</file>